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CD" w:rsidRDefault="007235CD" w:rsidP="007235CD">
      <w:pPr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Fonts w:ascii="Garamond" w:hAnsi="Garamond" w:cs="Arial"/>
          <w:color w:val="666666"/>
          <w:sz w:val="27"/>
          <w:szCs w:val="27"/>
        </w:rPr>
        <w:t>Prezados Docentes,</w:t>
      </w:r>
    </w:p>
    <w:p w:rsidR="007235CD" w:rsidRDefault="007235CD" w:rsidP="007235CD">
      <w:pPr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Fonts w:ascii="Garamond" w:hAnsi="Garamond" w:cs="Arial"/>
          <w:color w:val="666666"/>
          <w:sz w:val="27"/>
          <w:szCs w:val="27"/>
        </w:rPr>
        <w:br/>
      </w:r>
      <w:r>
        <w:rPr>
          <w:rFonts w:ascii="Garamond" w:hAnsi="Garamond" w:cs="Arial"/>
          <w:color w:val="666666"/>
          <w:sz w:val="27"/>
          <w:szCs w:val="27"/>
        </w:rPr>
        <w:br/>
        <w:t>A título de esclarecimento, compartilhamos informações prestadas pelo Prof. Dr. Omar Hong Koh, da Procuradoria Consultiva de Pessoal Docente e Técnico-Administrativo (Procuradoria Geral da USP) e pelo Prof. Dr. Osvaldo Novais de Oliveira Junior - Presidente da CERT, a fim de dirimir possíveis dúvidas:</w:t>
      </w:r>
    </w:p>
    <w:p w:rsidR="007235CD" w:rsidRDefault="007235CD" w:rsidP="007235CD">
      <w:pPr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Fonts w:ascii="Garamond" w:hAnsi="Garamond" w:cs="Arial"/>
          <w:color w:val="666666"/>
          <w:sz w:val="27"/>
          <w:szCs w:val="27"/>
        </w:rPr>
        <w:t> </w:t>
      </w:r>
    </w:p>
    <w:p w:rsidR="007235CD" w:rsidRDefault="007235CD" w:rsidP="007235CD">
      <w:pPr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Fonts w:ascii="Garamond" w:hAnsi="Garamond" w:cs="Arial"/>
          <w:color w:val="666666"/>
          <w:sz w:val="27"/>
          <w:szCs w:val="27"/>
        </w:rPr>
        <w:t>Todas as atividades simultâneas, cabíveis aos docentes em RDIDP, com necessidade ou não de credenciamento, </w:t>
      </w:r>
      <w:r>
        <w:rPr>
          <w:rFonts w:ascii="Garamond" w:hAnsi="Garamond" w:cs="Arial"/>
          <w:color w:val="666666"/>
          <w:sz w:val="27"/>
          <w:szCs w:val="27"/>
          <w:u w:val="single"/>
        </w:rPr>
        <w:t>devem ser direcionadas à Direção da EEFERP</w:t>
      </w:r>
      <w:r>
        <w:rPr>
          <w:rFonts w:ascii="Garamond" w:hAnsi="Garamond" w:cs="Arial"/>
          <w:color w:val="666666"/>
          <w:sz w:val="27"/>
          <w:szCs w:val="27"/>
        </w:rPr>
        <w:t>, conforme previsto no </w:t>
      </w:r>
      <w:hyperlink r:id="rId5" w:tgtFrame="_blank" w:history="1">
        <w:r>
          <w:rPr>
            <w:rStyle w:val="Hyperlink"/>
            <w:rFonts w:ascii="Garamond" w:hAnsi="Garamond" w:cs="Arial"/>
            <w:sz w:val="27"/>
            <w:szCs w:val="27"/>
          </w:rPr>
          <w:t>Estatuto Docente</w:t>
        </w:r>
      </w:hyperlink>
      <w:r>
        <w:rPr>
          <w:rFonts w:ascii="Garamond" w:hAnsi="Garamond" w:cs="Arial"/>
          <w:color w:val="666666"/>
          <w:sz w:val="27"/>
          <w:szCs w:val="27"/>
        </w:rPr>
        <w:t>. </w:t>
      </w:r>
    </w:p>
    <w:p w:rsidR="007235CD" w:rsidRDefault="007235CD" w:rsidP="007235CD">
      <w:pPr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Fonts w:ascii="Garamond" w:hAnsi="Garamond" w:cs="Arial"/>
          <w:color w:val="666666"/>
          <w:sz w:val="27"/>
          <w:szCs w:val="27"/>
        </w:rPr>
        <w:t> </w:t>
      </w:r>
    </w:p>
    <w:p w:rsidR="007235CD" w:rsidRDefault="007235CD" w:rsidP="007235CD">
      <w:pPr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Fonts w:ascii="Garamond" w:hAnsi="Garamond" w:cs="Arial"/>
          <w:color w:val="666666"/>
          <w:sz w:val="27"/>
          <w:szCs w:val="27"/>
        </w:rPr>
        <w:t>Todas as atividades pontuais compreendidas no </w:t>
      </w:r>
      <w:r>
        <w:rPr>
          <w:rFonts w:ascii="Garamond" w:hAnsi="Garamond" w:cs="Arial"/>
          <w:b/>
          <w:bCs/>
          <w:color w:val="666666"/>
          <w:sz w:val="27"/>
          <w:szCs w:val="27"/>
        </w:rPr>
        <w:t>Artigo 17</w:t>
      </w:r>
      <w:r>
        <w:rPr>
          <w:rFonts w:ascii="Garamond" w:hAnsi="Garamond" w:cs="Arial"/>
          <w:color w:val="666666"/>
          <w:sz w:val="27"/>
          <w:szCs w:val="27"/>
        </w:rPr>
        <w:t> deverão ser comunicadas à Direção, antes de sua realização, a fim de assegurar </w:t>
      </w:r>
      <w:r>
        <w:rPr>
          <w:rFonts w:ascii="Garamond" w:hAnsi="Garamond" w:cs="Arial"/>
          <w:color w:val="666666"/>
          <w:sz w:val="27"/>
          <w:szCs w:val="27"/>
          <w:u w:val="single"/>
        </w:rPr>
        <w:t xml:space="preserve">que elas não </w:t>
      </w:r>
      <w:bookmarkStart w:id="0" w:name="_GoBack"/>
      <w:bookmarkEnd w:id="0"/>
      <w:r>
        <w:rPr>
          <w:rFonts w:ascii="Garamond" w:hAnsi="Garamond" w:cs="Arial"/>
          <w:color w:val="666666"/>
          <w:sz w:val="27"/>
          <w:szCs w:val="27"/>
          <w:u w:val="single"/>
        </w:rPr>
        <w:t>prejudiquem o desempenho regular da função do docente e que sejam observadas as condições definidas na </w:t>
      </w:r>
      <w:hyperlink r:id="rId6" w:tgtFrame="_blank" w:history="1">
        <w:r>
          <w:rPr>
            <w:rStyle w:val="Hyperlink"/>
            <w:rFonts w:ascii="Garamond" w:hAnsi="Garamond" w:cs="Arial"/>
            <w:sz w:val="27"/>
            <w:szCs w:val="27"/>
          </w:rPr>
          <w:t>Res. 7271</w:t>
        </w:r>
      </w:hyperlink>
      <w:r>
        <w:rPr>
          <w:rFonts w:ascii="Garamond" w:hAnsi="Garamond" w:cs="Arial"/>
          <w:color w:val="666666"/>
          <w:sz w:val="27"/>
          <w:szCs w:val="27"/>
        </w:rPr>
        <w:t>. </w:t>
      </w:r>
    </w:p>
    <w:p w:rsidR="007235CD" w:rsidRDefault="007235CD" w:rsidP="007235CD">
      <w:pPr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Fonts w:ascii="Garamond" w:hAnsi="Garamond" w:cs="Arial"/>
          <w:b/>
          <w:bCs/>
          <w:color w:val="666666"/>
          <w:sz w:val="27"/>
          <w:szCs w:val="27"/>
        </w:rPr>
        <w:t>Estas atividades não precisam recolher </w:t>
      </w:r>
      <w:r>
        <w:rPr>
          <w:rFonts w:ascii="Garamond" w:hAnsi="Garamond" w:cs="Arial"/>
          <w:b/>
          <w:bCs/>
          <w:i/>
          <w:iCs/>
          <w:color w:val="666666"/>
          <w:sz w:val="27"/>
          <w:szCs w:val="27"/>
        </w:rPr>
        <w:t>overhead, </w:t>
      </w:r>
      <w:r>
        <w:rPr>
          <w:rFonts w:ascii="Garamond" w:hAnsi="Garamond" w:cs="Arial"/>
          <w:b/>
          <w:bCs/>
          <w:color w:val="666666"/>
          <w:sz w:val="27"/>
          <w:szCs w:val="27"/>
        </w:rPr>
        <w:t>quando remuneradas</w:t>
      </w:r>
      <w:r>
        <w:rPr>
          <w:rFonts w:ascii="Garamond" w:hAnsi="Garamond" w:cs="Arial"/>
          <w:b/>
          <w:bCs/>
          <w:i/>
          <w:iCs/>
          <w:color w:val="666666"/>
          <w:sz w:val="27"/>
          <w:szCs w:val="27"/>
        </w:rPr>
        <w:t>. </w:t>
      </w:r>
    </w:p>
    <w:p w:rsidR="007235CD" w:rsidRDefault="007235CD" w:rsidP="007235CD">
      <w:pPr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Fonts w:ascii="Garamond" w:hAnsi="Garamond" w:cs="Arial"/>
          <w:color w:val="666666"/>
          <w:sz w:val="27"/>
          <w:szCs w:val="27"/>
        </w:rPr>
        <w:t> </w:t>
      </w:r>
    </w:p>
    <w:p w:rsidR="007235CD" w:rsidRDefault="007235CD" w:rsidP="007235CD">
      <w:pPr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Fonts w:ascii="Garamond" w:hAnsi="Garamond" w:cs="Arial"/>
          <w:color w:val="666666"/>
          <w:sz w:val="27"/>
          <w:szCs w:val="27"/>
        </w:rPr>
        <w:t>Todas as atividades compreendidas nos </w:t>
      </w:r>
      <w:r>
        <w:rPr>
          <w:rFonts w:ascii="Garamond" w:hAnsi="Garamond" w:cs="Arial"/>
          <w:b/>
          <w:bCs/>
          <w:color w:val="666666"/>
          <w:sz w:val="27"/>
          <w:szCs w:val="27"/>
        </w:rPr>
        <w:t>Artigos 19, 20 e 21</w:t>
      </w:r>
      <w:r>
        <w:rPr>
          <w:rFonts w:ascii="Garamond" w:hAnsi="Garamond" w:cs="Arial"/>
          <w:color w:val="666666"/>
          <w:sz w:val="27"/>
          <w:szCs w:val="27"/>
        </w:rPr>
        <w:t> deverão ser enviadas para a Direção, antes de sua realização, e elas serão apreciadas no CTA.</w:t>
      </w:r>
    </w:p>
    <w:p w:rsidR="007235CD" w:rsidRDefault="007235CD" w:rsidP="007235CD">
      <w:pPr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Fonts w:ascii="Garamond" w:hAnsi="Garamond" w:cs="Arial"/>
          <w:b/>
          <w:bCs/>
          <w:color w:val="666666"/>
          <w:sz w:val="27"/>
          <w:szCs w:val="27"/>
        </w:rPr>
        <w:t>Quando houver remuneração há obrigatoriedade de recolhimento de </w:t>
      </w:r>
      <w:r>
        <w:rPr>
          <w:rFonts w:ascii="Garamond" w:hAnsi="Garamond" w:cs="Arial"/>
          <w:b/>
          <w:bCs/>
          <w:i/>
          <w:iCs/>
          <w:color w:val="666666"/>
          <w:sz w:val="27"/>
          <w:szCs w:val="27"/>
        </w:rPr>
        <w:t>overhead</w:t>
      </w:r>
      <w:r>
        <w:rPr>
          <w:rFonts w:ascii="Garamond" w:hAnsi="Garamond" w:cs="Arial"/>
          <w:b/>
          <w:bCs/>
          <w:color w:val="666666"/>
          <w:sz w:val="27"/>
          <w:szCs w:val="27"/>
        </w:rPr>
        <w:t>, conforme determina a </w:t>
      </w:r>
      <w:hyperlink r:id="rId7" w:anchor=":~:text=Disp%C3%B5e%20sobre%20taxa%20de%20promo%C3%A7%C3%A3o,Universidade%20e%20crit%C3%A9rios%20de%20isen%C3%A7%C3%A3o." w:tgtFrame="_blank" w:history="1">
        <w:r>
          <w:rPr>
            <w:rStyle w:val="Hyperlink"/>
            <w:rFonts w:ascii="Garamond" w:hAnsi="Garamond" w:cs="Arial"/>
            <w:b/>
            <w:bCs/>
            <w:sz w:val="27"/>
            <w:szCs w:val="27"/>
          </w:rPr>
          <w:t>Res. 72</w:t>
        </w:r>
        <w:r>
          <w:rPr>
            <w:rStyle w:val="Hyperlink"/>
            <w:rFonts w:ascii="Garamond" w:hAnsi="Garamond" w:cs="Arial"/>
            <w:sz w:val="27"/>
            <w:szCs w:val="27"/>
          </w:rPr>
          <w:t>90</w:t>
        </w:r>
      </w:hyperlink>
      <w:r>
        <w:rPr>
          <w:rFonts w:ascii="Garamond" w:hAnsi="Garamond" w:cs="Arial"/>
          <w:color w:val="666666"/>
          <w:sz w:val="27"/>
          <w:szCs w:val="27"/>
        </w:rPr>
        <w:t>.</w:t>
      </w:r>
    </w:p>
    <w:p w:rsidR="007235CD" w:rsidRDefault="007235CD" w:rsidP="007235CD">
      <w:pPr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Fonts w:ascii="Garamond" w:hAnsi="Garamond" w:cs="Arial"/>
          <w:color w:val="666666"/>
          <w:sz w:val="27"/>
          <w:szCs w:val="27"/>
        </w:rPr>
        <w:br/>
        <w:t>Na Unidade, as Portarias EEFERP </w:t>
      </w:r>
      <w:hyperlink r:id="rId8" w:tgtFrame="_blank" w:history="1">
        <w:r>
          <w:rPr>
            <w:rStyle w:val="Hyperlink"/>
            <w:rFonts w:ascii="Garamond" w:hAnsi="Garamond" w:cs="Arial"/>
            <w:sz w:val="27"/>
            <w:szCs w:val="27"/>
          </w:rPr>
          <w:t>009/2017</w:t>
        </w:r>
      </w:hyperlink>
      <w:r>
        <w:rPr>
          <w:rFonts w:ascii="Garamond" w:hAnsi="Garamond" w:cs="Arial"/>
          <w:color w:val="666666"/>
          <w:sz w:val="27"/>
          <w:szCs w:val="27"/>
        </w:rPr>
        <w:t> e </w:t>
      </w:r>
      <w:hyperlink r:id="rId9" w:tgtFrame="_blank" w:history="1">
        <w:r>
          <w:rPr>
            <w:rStyle w:val="Hyperlink"/>
            <w:rFonts w:ascii="Garamond" w:hAnsi="Garamond" w:cs="Arial"/>
            <w:sz w:val="27"/>
            <w:szCs w:val="27"/>
          </w:rPr>
          <w:t>013/2017</w:t>
        </w:r>
      </w:hyperlink>
      <w:r>
        <w:rPr>
          <w:rFonts w:ascii="Garamond" w:hAnsi="Garamond" w:cs="Arial"/>
          <w:color w:val="666666"/>
          <w:sz w:val="27"/>
          <w:szCs w:val="27"/>
        </w:rPr>
        <w:t> regulamentam o recolhimento da taxa (</w:t>
      </w:r>
      <w:r>
        <w:rPr>
          <w:rFonts w:ascii="Garamond" w:hAnsi="Garamond" w:cs="Arial"/>
          <w:i/>
          <w:iCs/>
          <w:color w:val="666666"/>
          <w:sz w:val="27"/>
          <w:szCs w:val="27"/>
        </w:rPr>
        <w:t>overhead</w:t>
      </w:r>
      <w:r>
        <w:rPr>
          <w:rFonts w:ascii="Garamond" w:hAnsi="Garamond" w:cs="Arial"/>
          <w:color w:val="666666"/>
          <w:sz w:val="27"/>
          <w:szCs w:val="27"/>
        </w:rPr>
        <w:t>) de promoção da pesquisa, ensino, cultura e extensão, decorrentes  dos valores pagos por fontes externas à Universidade ou a seus docentes, a título de convênios ou contratos em que a USP figure como contratada, cursos  de extensão ou assessoria, nos termos da Res. n º 7290, de 14/12/2016.</w:t>
      </w:r>
    </w:p>
    <w:p w:rsidR="00E555A7" w:rsidRPr="007235CD" w:rsidRDefault="00E555A7" w:rsidP="007235CD"/>
    <w:sectPr w:rsidR="00E555A7" w:rsidRPr="00723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A7"/>
    <w:rsid w:val="001F3326"/>
    <w:rsid w:val="002141D7"/>
    <w:rsid w:val="003F0633"/>
    <w:rsid w:val="004211F5"/>
    <w:rsid w:val="00435439"/>
    <w:rsid w:val="005836EA"/>
    <w:rsid w:val="006D5DDD"/>
    <w:rsid w:val="007235CD"/>
    <w:rsid w:val="007E5C0F"/>
    <w:rsid w:val="00895807"/>
    <w:rsid w:val="008E18F2"/>
    <w:rsid w:val="009E6D57"/>
    <w:rsid w:val="00B422C9"/>
    <w:rsid w:val="00C86F2B"/>
    <w:rsid w:val="00D75B33"/>
    <w:rsid w:val="00E555A7"/>
    <w:rsid w:val="00E6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5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55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555A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55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5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55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555A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55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erp.usp.br/sites/default/files/paginas/portaria_eeferp_09-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nf.usp.br/?resolucao=resolucao-no-7290-de-14-de-dezembro-de-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ginf.usp.br/?resolucao=resolucao-no-7271-23-de-novembro-de-2016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ginf.usp.br/?resolucao=resolucao-no-7271-23-de-novembro-de-2016-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eferp.usp.br/sites/default/files/paginas/portaria_eeferp_013-201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atac</dc:creator>
  <cp:lastModifiedBy>atac</cp:lastModifiedBy>
  <cp:revision>2</cp:revision>
  <dcterms:created xsi:type="dcterms:W3CDTF">2021-01-29T14:18:00Z</dcterms:created>
  <dcterms:modified xsi:type="dcterms:W3CDTF">2021-01-29T14:18:00Z</dcterms:modified>
</cp:coreProperties>
</file>